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AA" w:rsidRPr="00597B44" w:rsidRDefault="00E72AAA" w:rsidP="00597B44">
      <w:pPr>
        <w:spacing w:line="360" w:lineRule="auto"/>
        <w:jc w:val="both"/>
        <w:rPr>
          <w:rFonts w:asciiTheme="majorHAnsi" w:hAnsiTheme="majorHAnsi" w:cstheme="majorHAnsi"/>
          <w:b/>
          <w:sz w:val="24"/>
          <w:szCs w:val="24"/>
          <w:lang w:val="en-US"/>
        </w:rPr>
      </w:pPr>
      <w:r w:rsidRPr="00EA23FA">
        <w:rPr>
          <w:rFonts w:asciiTheme="majorHAnsi" w:hAnsiTheme="majorHAnsi" w:cstheme="majorHAnsi"/>
          <w:b/>
          <w:sz w:val="28"/>
          <w:szCs w:val="24"/>
          <w:lang w:val="en-US"/>
        </w:rPr>
        <w:t xml:space="preserve">Kế toán cho Quyết định Quản trị </w:t>
      </w:r>
      <w:r w:rsidRPr="00597B44">
        <w:rPr>
          <w:rFonts w:asciiTheme="majorHAnsi" w:hAnsiTheme="majorHAnsi" w:cstheme="majorHAnsi"/>
          <w:b/>
          <w:i/>
          <w:sz w:val="24"/>
          <w:szCs w:val="24"/>
          <w:lang w:val="en-US"/>
        </w:rPr>
        <w:t>(</w:t>
      </w:r>
      <w:r w:rsidRPr="00597B44">
        <w:rPr>
          <w:rFonts w:asciiTheme="majorHAnsi" w:hAnsiTheme="majorHAnsi" w:cstheme="majorHAnsi"/>
          <w:i/>
          <w:sz w:val="24"/>
          <w:szCs w:val="24"/>
          <w:lang w:val="en-US"/>
        </w:rPr>
        <w:t xml:space="preserve">Tương đương môn học F2 </w:t>
      </w:r>
      <w:r w:rsidR="00BA0C36" w:rsidRPr="00597B44">
        <w:rPr>
          <w:rFonts w:asciiTheme="majorHAnsi" w:hAnsiTheme="majorHAnsi" w:cstheme="majorHAnsi"/>
          <w:i/>
          <w:sz w:val="24"/>
          <w:szCs w:val="24"/>
          <w:lang w:val="en-US"/>
        </w:rPr>
        <w:t>-</w:t>
      </w:r>
      <w:r w:rsidRPr="00597B44">
        <w:rPr>
          <w:rFonts w:asciiTheme="majorHAnsi" w:hAnsiTheme="majorHAnsi" w:cstheme="majorHAnsi"/>
          <w:i/>
          <w:sz w:val="24"/>
          <w:szCs w:val="24"/>
          <w:lang w:val="en-US"/>
        </w:rPr>
        <w:t xml:space="preserve"> ACCA</w:t>
      </w:r>
      <w:r w:rsidRPr="00597B44">
        <w:rPr>
          <w:rFonts w:asciiTheme="majorHAnsi" w:hAnsiTheme="majorHAnsi" w:cstheme="majorHAnsi"/>
          <w:b/>
          <w:i/>
          <w:sz w:val="24"/>
          <w:szCs w:val="24"/>
          <w:lang w:val="en-US"/>
        </w:rPr>
        <w:t>)</w:t>
      </w:r>
    </w:p>
    <w:p w:rsidR="00E72AAA" w:rsidRPr="00E67B87" w:rsidRDefault="00E72AAA" w:rsidP="00E67B87">
      <w:pPr>
        <w:spacing w:line="288" w:lineRule="auto"/>
        <w:jc w:val="both"/>
        <w:rPr>
          <w:rFonts w:asciiTheme="majorHAnsi" w:hAnsiTheme="majorHAnsi" w:cstheme="majorHAnsi"/>
          <w:b/>
          <w:sz w:val="24"/>
          <w:szCs w:val="26"/>
          <w:lang w:val="en-US"/>
        </w:rPr>
      </w:pPr>
      <w:r w:rsidRPr="00E67B87">
        <w:rPr>
          <w:rFonts w:asciiTheme="majorHAnsi" w:hAnsiTheme="majorHAnsi" w:cstheme="majorHAnsi"/>
          <w:b/>
          <w:sz w:val="24"/>
          <w:szCs w:val="26"/>
          <w:lang w:val="en-US"/>
        </w:rPr>
        <w:t>MÔ TẢ</w:t>
      </w:r>
    </w:p>
    <w:p w:rsidR="00E72AAA" w:rsidRPr="00E67B87" w:rsidRDefault="00E72AA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Khóa học bồi dưỡng kiến thức về các kỹ năng kế toán quản trị nhằm cung cấp thông tin tài chính và các thông tin liên quan phục vụ công tác quản trị trong lập kế hoạch, kiểm soát, giám sát và đánh giá hoạt động kinh doanh.</w:t>
      </w:r>
    </w:p>
    <w:p w:rsidR="00E72AAA" w:rsidRPr="00E67B87" w:rsidRDefault="00E72AA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 xml:space="preserve">Môn học này cũng giới thiệu cho sinh viên các yếu tố của kế toán quản trị được sử dụng hỗ trợ cho các quyết định quản trị. </w:t>
      </w:r>
    </w:p>
    <w:p w:rsidR="00E72AAA" w:rsidRPr="00E67B87" w:rsidRDefault="00E72AA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Bên c</w:t>
      </w:r>
      <w:r w:rsidR="00597B44" w:rsidRPr="00E67B87">
        <w:rPr>
          <w:rFonts w:asciiTheme="majorHAnsi" w:hAnsiTheme="majorHAnsi" w:cstheme="majorHAnsi"/>
          <w:sz w:val="26"/>
          <w:szCs w:val="26"/>
          <w:lang w:val="en-US"/>
        </w:rPr>
        <w:t>ạ</w:t>
      </w:r>
      <w:r w:rsidRPr="00E67B87">
        <w:rPr>
          <w:rFonts w:asciiTheme="majorHAnsi" w:hAnsiTheme="majorHAnsi" w:cstheme="majorHAnsi"/>
          <w:sz w:val="26"/>
          <w:szCs w:val="26"/>
          <w:lang w:val="en-US"/>
        </w:rPr>
        <w:t>nh đó, môn học tập trung nghiên cứu thiết kế kỹ thuật và sự vận hành của hệ thống</w:t>
      </w:r>
      <w:r w:rsidR="008F5FFC" w:rsidRPr="00E67B87">
        <w:rPr>
          <w:rFonts w:asciiTheme="majorHAnsi" w:hAnsiTheme="majorHAnsi" w:cstheme="majorHAnsi"/>
          <w:sz w:val="26"/>
          <w:szCs w:val="26"/>
          <w:lang w:val="en-US"/>
        </w:rPr>
        <w:t xml:space="preserve"> kế toán chi phí, thiết kế và hoạt động của hệ thống kế toán kiểm soát và hệ thống quản trị chi phí chiến lược nhằm đạt được lợi thế cạnh tranh.</w:t>
      </w:r>
    </w:p>
    <w:p w:rsidR="008F5FFC" w:rsidRPr="00E67B87" w:rsidRDefault="008F5FFC"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Khóa học cũng định hướng nghiên cứu các chủ đề được quan tâm hiện nay về kế toán quản trị và sự phát triển của kế toán quản trị trong viễn cảnh đa ngành nghề.</w:t>
      </w:r>
    </w:p>
    <w:p w:rsidR="008F5FFC" w:rsidRPr="00E67B87" w:rsidRDefault="008F5FFC" w:rsidP="00E67B87">
      <w:pPr>
        <w:spacing w:line="288" w:lineRule="auto"/>
        <w:jc w:val="both"/>
        <w:rPr>
          <w:rFonts w:asciiTheme="majorHAnsi" w:hAnsiTheme="majorHAnsi" w:cstheme="majorHAnsi"/>
          <w:b/>
          <w:sz w:val="24"/>
          <w:szCs w:val="26"/>
          <w:lang w:val="en-US"/>
        </w:rPr>
      </w:pPr>
      <w:r w:rsidRPr="00E67B87">
        <w:rPr>
          <w:rFonts w:asciiTheme="majorHAnsi" w:hAnsiTheme="majorHAnsi" w:cstheme="majorHAnsi"/>
          <w:b/>
          <w:sz w:val="24"/>
          <w:szCs w:val="26"/>
          <w:lang w:val="en-US"/>
        </w:rPr>
        <w:t>CÁC KẾT QUẢ HỌC TẬP</w:t>
      </w:r>
    </w:p>
    <w:p w:rsidR="008F5FFC" w:rsidRPr="00E67B87" w:rsidRDefault="008F5FFC"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Học xong môn học này sinh viên sẽ có những kiến thức và kỹ năng sau:</w:t>
      </w:r>
    </w:p>
    <w:p w:rsidR="008F5FFC" w:rsidRPr="00E67B87" w:rsidRDefault="008F5FFC"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Hiểu được vai trò của kế toán quản trị và mối quan hệ với kế toán tài chính;</w:t>
      </w:r>
    </w:p>
    <w:p w:rsidR="008F5FFC" w:rsidRPr="00E67B87" w:rsidRDefault="008F5FFC"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Giải thích được bản chất, nguồn gốc và mục tiêu của thông tin quản trị;</w:t>
      </w:r>
    </w:p>
    <w:p w:rsidR="008F5FFC" w:rsidRPr="00E67B87" w:rsidRDefault="008F5FFC" w:rsidP="00E67B87">
      <w:pPr>
        <w:pStyle w:val="ListParagraph"/>
        <w:numPr>
          <w:ilvl w:val="0"/>
          <w:numId w:val="1"/>
        </w:numPr>
        <w:spacing w:line="288" w:lineRule="auto"/>
        <w:ind w:left="567" w:hanging="283"/>
        <w:jc w:val="both"/>
        <w:rPr>
          <w:rFonts w:asciiTheme="majorHAnsi" w:hAnsiTheme="majorHAnsi" w:cstheme="majorHAnsi"/>
          <w:spacing w:val="-4"/>
          <w:sz w:val="26"/>
          <w:szCs w:val="26"/>
          <w:lang w:val="en-US"/>
        </w:rPr>
      </w:pPr>
      <w:r w:rsidRPr="00E67B87">
        <w:rPr>
          <w:rFonts w:asciiTheme="majorHAnsi" w:hAnsiTheme="majorHAnsi" w:cstheme="majorHAnsi"/>
          <w:spacing w:val="-4"/>
          <w:sz w:val="26"/>
          <w:szCs w:val="26"/>
          <w:lang w:val="en-US"/>
        </w:rPr>
        <w:t>Lập báo cáo sản xuất và ghi nhận các giao dịch sản xuất dựa trên cơ sở các dòng chi phí;</w:t>
      </w:r>
    </w:p>
    <w:p w:rsidR="008F5FFC" w:rsidRPr="00E67B87" w:rsidRDefault="008F5FFC"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Giải thích và vận dụng được các kỹ năng về kế toán chi phí;</w:t>
      </w:r>
    </w:p>
    <w:p w:rsidR="008F5FFC" w:rsidRPr="00E67B87" w:rsidRDefault="00597B44"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Phân biệt</w:t>
      </w:r>
      <w:r w:rsidR="008F5FFC" w:rsidRPr="00E67B87">
        <w:rPr>
          <w:rFonts w:asciiTheme="majorHAnsi" w:hAnsiTheme="majorHAnsi" w:cstheme="majorHAnsi"/>
          <w:sz w:val="26"/>
          <w:szCs w:val="26"/>
          <w:lang w:val="en-US"/>
        </w:rPr>
        <w:t xml:space="preserve"> sự</w:t>
      </w:r>
      <w:r w:rsidR="00DB08B3" w:rsidRPr="00E67B87">
        <w:rPr>
          <w:rFonts w:asciiTheme="majorHAnsi" w:hAnsiTheme="majorHAnsi" w:cstheme="majorHAnsi"/>
          <w:sz w:val="26"/>
          <w:szCs w:val="26"/>
          <w:lang w:val="en-US"/>
        </w:rPr>
        <w:t xml:space="preserve"> khác nhau giữa phương pháp kế toán phân bổ chi phí theo đơn đặt hàng</w:t>
      </w:r>
      <w:r w:rsidR="007C2C52" w:rsidRPr="00E67B87">
        <w:rPr>
          <w:rFonts w:asciiTheme="majorHAnsi" w:hAnsiTheme="majorHAnsi" w:cstheme="majorHAnsi"/>
          <w:sz w:val="26"/>
          <w:szCs w:val="26"/>
          <w:lang w:val="en-US"/>
        </w:rPr>
        <w:t xml:space="preserve"> (theo công việc)</w:t>
      </w:r>
      <w:r w:rsidR="00DB08B3" w:rsidRPr="00E67B87">
        <w:rPr>
          <w:rFonts w:asciiTheme="majorHAnsi" w:hAnsiTheme="majorHAnsi" w:cstheme="majorHAnsi"/>
          <w:sz w:val="26"/>
          <w:szCs w:val="26"/>
          <w:lang w:val="en-US"/>
        </w:rPr>
        <w:t xml:space="preserve"> và kế toán chi phí theo quy trình;</w:t>
      </w:r>
    </w:p>
    <w:p w:rsidR="00DB08B3" w:rsidRPr="00E67B87" w:rsidRDefault="00DB08B3"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Lập báo cáo thu nhập sử dụng phương pháp kế toán chi phí hấp thụ (đảm phí) và kế toán chi phí biến đổi;</w:t>
      </w:r>
    </w:p>
    <w:p w:rsidR="00DB08B3" w:rsidRPr="00E67B87" w:rsidRDefault="007C2C52"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Hoạch định ngân sách</w:t>
      </w:r>
      <w:r w:rsidR="00DB08B3" w:rsidRPr="00E67B87">
        <w:rPr>
          <w:rFonts w:asciiTheme="majorHAnsi" w:hAnsiTheme="majorHAnsi" w:cstheme="majorHAnsi"/>
          <w:sz w:val="26"/>
          <w:szCs w:val="26"/>
          <w:lang w:val="en-US"/>
        </w:rPr>
        <w:t xml:space="preserve"> cho công tác lập kế hoạch và kiểm soát;</w:t>
      </w:r>
    </w:p>
    <w:p w:rsidR="00DB08B3" w:rsidRPr="00E67B87" w:rsidRDefault="00DB08B3"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 xml:space="preserve">So sánh chi phí thực tế với chi phí tiêu chuẩn và phân tích sự khác biệt; </w:t>
      </w:r>
    </w:p>
    <w:p w:rsidR="00DB08B3" w:rsidRPr="00E67B87" w:rsidRDefault="00DB08B3" w:rsidP="00E67B87">
      <w:pPr>
        <w:pStyle w:val="ListParagraph"/>
        <w:numPr>
          <w:ilvl w:val="0"/>
          <w:numId w:val="1"/>
        </w:numPr>
        <w:spacing w:line="288" w:lineRule="auto"/>
        <w:ind w:left="567" w:hanging="283"/>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Giải thích và vận dụng các phương pháp đánh giá và giám sát hiệu quả hoạt động.</w:t>
      </w:r>
    </w:p>
    <w:p w:rsidR="00DB08B3" w:rsidRPr="00E67B87" w:rsidRDefault="00DB08B3" w:rsidP="00E67B87">
      <w:pPr>
        <w:spacing w:line="288" w:lineRule="auto"/>
        <w:jc w:val="both"/>
        <w:rPr>
          <w:rFonts w:asciiTheme="majorHAnsi" w:hAnsiTheme="majorHAnsi" w:cstheme="majorHAnsi"/>
          <w:b/>
          <w:sz w:val="24"/>
          <w:szCs w:val="26"/>
          <w:lang w:val="en-US"/>
        </w:rPr>
      </w:pPr>
      <w:r w:rsidRPr="00E67B87">
        <w:rPr>
          <w:rFonts w:asciiTheme="majorHAnsi" w:hAnsiTheme="majorHAnsi" w:cstheme="majorHAnsi"/>
          <w:b/>
          <w:sz w:val="24"/>
          <w:szCs w:val="26"/>
          <w:lang w:val="en-US"/>
        </w:rPr>
        <w:t>CÁC CHỦ ĐỀ</w:t>
      </w:r>
    </w:p>
    <w:p w:rsidR="00DB08B3" w:rsidRPr="00E67B87" w:rsidRDefault="00DB08B3"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 xml:space="preserve">Chủ đề 1: Giới thiệu: Vai trò của kế toán quản trị, nguồn dữ liệu, phân loại chi phí và </w:t>
      </w:r>
      <w:r w:rsidR="00BA0C36" w:rsidRPr="00E67B87">
        <w:rPr>
          <w:rFonts w:asciiTheme="majorHAnsi" w:hAnsiTheme="majorHAnsi" w:cstheme="majorHAnsi"/>
          <w:sz w:val="26"/>
          <w:szCs w:val="26"/>
          <w:lang w:val="en-US"/>
        </w:rPr>
        <w:t>đưa ra thông tin</w:t>
      </w:r>
    </w:p>
    <w:p w:rsidR="007C2C52" w:rsidRPr="00E67B87" w:rsidRDefault="007C2C52" w:rsidP="00E67B87">
      <w:pPr>
        <w:spacing w:line="288" w:lineRule="auto"/>
        <w:jc w:val="both"/>
        <w:rPr>
          <w:rFonts w:asciiTheme="majorHAnsi" w:hAnsiTheme="majorHAnsi" w:cstheme="majorHAnsi"/>
          <w:spacing w:val="-8"/>
          <w:sz w:val="26"/>
          <w:szCs w:val="26"/>
          <w:lang w:val="en-US"/>
        </w:rPr>
      </w:pPr>
      <w:r w:rsidRPr="00E67B87">
        <w:rPr>
          <w:rFonts w:asciiTheme="majorHAnsi" w:hAnsiTheme="majorHAnsi" w:cstheme="majorHAnsi"/>
          <w:spacing w:val="-8"/>
          <w:sz w:val="26"/>
          <w:szCs w:val="26"/>
          <w:lang w:val="en-US"/>
        </w:rPr>
        <w:t>Chủ đề 2: Các thuật ngữ về chi phí và khái niệm, kế toán nguyên vật liệu, lao độ</w:t>
      </w:r>
      <w:r w:rsidR="00BA0C36" w:rsidRPr="00E67B87">
        <w:rPr>
          <w:rFonts w:asciiTheme="majorHAnsi" w:hAnsiTheme="majorHAnsi" w:cstheme="majorHAnsi"/>
          <w:spacing w:val="-8"/>
          <w:sz w:val="26"/>
          <w:szCs w:val="26"/>
          <w:lang w:val="en-US"/>
        </w:rPr>
        <w:t>ng và chi phí chung</w:t>
      </w:r>
    </w:p>
    <w:p w:rsidR="007C2C52" w:rsidRPr="00E67B87" w:rsidRDefault="007C2C52"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3: Các phương pháp kế toán chi phí và các phương pháp kế</w:t>
      </w:r>
      <w:r w:rsidR="00BA0C36" w:rsidRPr="00E67B87">
        <w:rPr>
          <w:rFonts w:asciiTheme="majorHAnsi" w:hAnsiTheme="majorHAnsi" w:cstheme="majorHAnsi"/>
          <w:sz w:val="26"/>
          <w:szCs w:val="26"/>
          <w:lang w:val="en-US"/>
        </w:rPr>
        <w:t xml:space="preserve"> toán chi phí bổ sung</w:t>
      </w:r>
    </w:p>
    <w:p w:rsidR="007C2C52" w:rsidRPr="00E67B87" w:rsidRDefault="007C2C52"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lastRenderedPageBreak/>
        <w:t>Chủ đề 4: Kế toán chi phí hấp thụ và chi phí cận biên</w:t>
      </w:r>
    </w:p>
    <w:p w:rsidR="007C2C52" w:rsidRPr="00E67B87" w:rsidRDefault="007C2C52"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5: Kế toán chi phí theo đơn đặt (theo công việc) và theo quy trình sản xuất</w:t>
      </w:r>
    </w:p>
    <w:p w:rsidR="00E72AAA" w:rsidRPr="00E67B87" w:rsidRDefault="007C2C52"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6: Phương pháp kế toán chi phí theo hoạt động</w:t>
      </w:r>
    </w:p>
    <w:p w:rsidR="007C2C52" w:rsidRPr="00E67B87" w:rsidRDefault="007C2C52"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7: Hoạch đị</w:t>
      </w:r>
      <w:r w:rsidR="00CE084A" w:rsidRPr="00E67B87">
        <w:rPr>
          <w:rFonts w:asciiTheme="majorHAnsi" w:hAnsiTheme="majorHAnsi" w:cstheme="majorHAnsi"/>
          <w:sz w:val="26"/>
          <w:szCs w:val="26"/>
          <w:lang w:val="en-US"/>
        </w:rPr>
        <w:t>nh ngân sách</w:t>
      </w:r>
      <w:r w:rsidRPr="00E67B87">
        <w:rPr>
          <w:rFonts w:asciiTheme="majorHAnsi" w:hAnsiTheme="majorHAnsi" w:cstheme="majorHAnsi"/>
          <w:sz w:val="26"/>
          <w:szCs w:val="26"/>
          <w:lang w:val="en-US"/>
        </w:rPr>
        <w:t>: Bản chất và mục tiêu của hoạch định ngân sách, các kỹ thuật thống kê và chuẩn bị</w:t>
      </w:r>
      <w:r w:rsidR="00BA0C36" w:rsidRPr="00E67B87">
        <w:rPr>
          <w:rFonts w:asciiTheme="majorHAnsi" w:hAnsiTheme="majorHAnsi" w:cstheme="majorHAnsi"/>
          <w:sz w:val="26"/>
          <w:szCs w:val="26"/>
          <w:lang w:val="en-US"/>
        </w:rPr>
        <w:t xml:space="preserve"> ngân sách</w:t>
      </w:r>
    </w:p>
    <w:p w:rsidR="007C2C52" w:rsidRPr="00E67B87" w:rsidRDefault="007C2C52"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8: Ngân sách linh hoạt, kiểm soát ngân sách và lập báo cáo và hoạch định kế hoạch vốn theo hành vi</w:t>
      </w:r>
    </w:p>
    <w:p w:rsidR="00CE084A" w:rsidRPr="00E67B87" w:rsidRDefault="00CE084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9: Hoạch định ngân sách vốn và</w:t>
      </w:r>
      <w:r w:rsidR="00EA23FA" w:rsidRPr="00E67B87">
        <w:rPr>
          <w:rFonts w:asciiTheme="majorHAnsi" w:hAnsiTheme="majorHAnsi" w:cstheme="majorHAnsi"/>
          <w:sz w:val="26"/>
          <w:szCs w:val="26"/>
          <w:lang w:val="en-US"/>
        </w:rPr>
        <w:t xml:space="preserve"> </w:t>
      </w:r>
      <w:r w:rsidRPr="00E67B87">
        <w:rPr>
          <w:rFonts w:asciiTheme="majorHAnsi" w:hAnsiTheme="majorHAnsi" w:cstheme="majorHAnsi"/>
          <w:sz w:val="26"/>
          <w:szCs w:val="26"/>
          <w:lang w:val="en-US"/>
        </w:rPr>
        <w:t>các dòng tiền chiết khấu</w:t>
      </w:r>
    </w:p>
    <w:p w:rsidR="00CE084A" w:rsidRPr="00E67B87" w:rsidRDefault="00CE084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10: Kế toán chi phí tiêu chuẩn, cân đối phân tích phương sai lợi nhuận kế hoạch và lợi nhuận thực tế</w:t>
      </w:r>
    </w:p>
    <w:p w:rsidR="00CE084A" w:rsidRPr="00E67B87" w:rsidRDefault="00CE084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Chủ đề 11: Đánh giá kế</w:t>
      </w:r>
      <w:r w:rsidR="00EA23FA" w:rsidRPr="00E67B87">
        <w:rPr>
          <w:rFonts w:asciiTheme="majorHAnsi" w:hAnsiTheme="majorHAnsi" w:cstheme="majorHAnsi"/>
          <w:sz w:val="26"/>
          <w:szCs w:val="26"/>
          <w:lang w:val="en-US"/>
        </w:rPr>
        <w:t>t</w:t>
      </w:r>
      <w:r w:rsidRPr="00E67B87">
        <w:rPr>
          <w:rFonts w:asciiTheme="majorHAnsi" w:hAnsiTheme="majorHAnsi" w:cstheme="majorHAnsi"/>
          <w:sz w:val="26"/>
          <w:szCs w:val="26"/>
          <w:lang w:val="en-US"/>
        </w:rPr>
        <w:t xml:space="preserve"> quả hoạt động: Tổng quan, áp dụng, giảm chi phí, nâng giá trị, giám sát hoạt động và lập báo cáo</w:t>
      </w:r>
    </w:p>
    <w:p w:rsidR="00CE084A" w:rsidRPr="00E67B87" w:rsidRDefault="00CE084A" w:rsidP="00E67B87">
      <w:pPr>
        <w:spacing w:line="288" w:lineRule="auto"/>
        <w:jc w:val="both"/>
        <w:rPr>
          <w:rFonts w:asciiTheme="majorHAnsi" w:hAnsiTheme="majorHAnsi" w:cstheme="majorHAnsi"/>
          <w:b/>
          <w:sz w:val="24"/>
          <w:szCs w:val="26"/>
          <w:lang w:val="en-US"/>
        </w:rPr>
      </w:pPr>
      <w:r w:rsidRPr="00E67B87">
        <w:rPr>
          <w:rFonts w:asciiTheme="majorHAnsi" w:hAnsiTheme="majorHAnsi" w:cstheme="majorHAnsi"/>
          <w:b/>
          <w:sz w:val="24"/>
          <w:szCs w:val="26"/>
          <w:lang w:val="en-US"/>
        </w:rPr>
        <w:t>GIÁO TRÌNH BẮT BUỘC</w:t>
      </w:r>
    </w:p>
    <w:p w:rsidR="00CE084A" w:rsidRPr="00E67B87" w:rsidRDefault="00EA23F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ACCA -</w:t>
      </w:r>
      <w:r w:rsidR="00CE084A" w:rsidRPr="00E67B87">
        <w:rPr>
          <w:rFonts w:asciiTheme="majorHAnsi" w:hAnsiTheme="majorHAnsi" w:cstheme="majorHAnsi"/>
          <w:sz w:val="26"/>
          <w:szCs w:val="26"/>
          <w:lang w:val="en-US"/>
        </w:rPr>
        <w:t xml:space="preserve"> F2 Kế toán Quản trị - Giáo trình của BPP</w:t>
      </w:r>
    </w:p>
    <w:p w:rsidR="00CE084A" w:rsidRPr="00E67B87" w:rsidRDefault="00CE084A" w:rsidP="00E67B87">
      <w:pPr>
        <w:spacing w:line="288" w:lineRule="auto"/>
        <w:jc w:val="both"/>
        <w:rPr>
          <w:rFonts w:asciiTheme="majorHAnsi" w:hAnsiTheme="majorHAnsi" w:cstheme="majorHAnsi"/>
          <w:b/>
          <w:sz w:val="24"/>
          <w:szCs w:val="26"/>
          <w:lang w:val="en-US"/>
        </w:rPr>
      </w:pPr>
      <w:bookmarkStart w:id="0" w:name="_GoBack"/>
      <w:r w:rsidRPr="00E67B87">
        <w:rPr>
          <w:rFonts w:asciiTheme="majorHAnsi" w:hAnsiTheme="majorHAnsi" w:cstheme="majorHAnsi"/>
          <w:b/>
          <w:sz w:val="24"/>
          <w:szCs w:val="26"/>
          <w:lang w:val="en-US"/>
        </w:rPr>
        <w:t>KIỂM TRA VÀ ĐÁNH GIÁ</w:t>
      </w:r>
    </w:p>
    <w:bookmarkEnd w:id="0"/>
    <w:p w:rsidR="00CE084A" w:rsidRPr="00E67B87" w:rsidRDefault="00CE084A" w:rsidP="00E67B87">
      <w:pPr>
        <w:spacing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Khóa học bao gồm 3 nội dung đánh giá</w:t>
      </w:r>
    </w:p>
    <w:tbl>
      <w:tblPr>
        <w:tblStyle w:val="TableGrid"/>
        <w:tblW w:w="8391" w:type="dxa"/>
        <w:jc w:val="center"/>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50"/>
        <w:gridCol w:w="1904"/>
      </w:tblGrid>
      <w:tr w:rsidR="00EA23FA" w:rsidRPr="00E67B87" w:rsidTr="00EA23FA">
        <w:trPr>
          <w:trHeight w:val="567"/>
          <w:jc w:val="center"/>
        </w:trPr>
        <w:tc>
          <w:tcPr>
            <w:tcW w:w="6237" w:type="dxa"/>
          </w:tcPr>
          <w:p w:rsidR="00EA23FA" w:rsidRPr="00E67B87" w:rsidRDefault="00EA23FA" w:rsidP="00E67B87">
            <w:pPr>
              <w:spacing w:before="120" w:after="120" w:line="288" w:lineRule="auto"/>
              <w:jc w:val="both"/>
              <w:rPr>
                <w:rFonts w:asciiTheme="majorHAnsi" w:hAnsiTheme="majorHAnsi" w:cstheme="majorHAnsi"/>
                <w:b/>
                <w:sz w:val="26"/>
                <w:szCs w:val="26"/>
                <w:lang w:val="en-US"/>
              </w:rPr>
            </w:pPr>
            <w:r w:rsidRPr="00E67B87">
              <w:rPr>
                <w:rFonts w:asciiTheme="majorHAnsi" w:hAnsiTheme="majorHAnsi" w:cstheme="majorHAnsi"/>
                <w:b/>
                <w:sz w:val="26"/>
                <w:szCs w:val="26"/>
                <w:lang w:val="en-US"/>
              </w:rPr>
              <w:t>Nội dung đánh giá</w:t>
            </w:r>
          </w:p>
        </w:tc>
        <w:tc>
          <w:tcPr>
            <w:tcW w:w="250" w:type="dxa"/>
          </w:tcPr>
          <w:p w:rsidR="00EA23FA" w:rsidRPr="00E67B87" w:rsidRDefault="00EA23FA" w:rsidP="00E67B87">
            <w:pPr>
              <w:spacing w:before="120" w:after="120" w:line="288" w:lineRule="auto"/>
              <w:jc w:val="both"/>
              <w:rPr>
                <w:rFonts w:asciiTheme="majorHAnsi" w:hAnsiTheme="majorHAnsi" w:cstheme="majorHAnsi"/>
                <w:b/>
                <w:sz w:val="26"/>
                <w:szCs w:val="26"/>
                <w:lang w:val="en-US"/>
              </w:rPr>
            </w:pPr>
          </w:p>
        </w:tc>
        <w:tc>
          <w:tcPr>
            <w:tcW w:w="1904" w:type="dxa"/>
          </w:tcPr>
          <w:p w:rsidR="00EA23FA" w:rsidRPr="00E67B87" w:rsidRDefault="00EA23FA" w:rsidP="00E67B87">
            <w:pPr>
              <w:spacing w:before="120" w:after="120" w:line="288" w:lineRule="auto"/>
              <w:jc w:val="both"/>
              <w:rPr>
                <w:rFonts w:asciiTheme="majorHAnsi" w:hAnsiTheme="majorHAnsi" w:cstheme="majorHAnsi"/>
                <w:b/>
                <w:sz w:val="26"/>
                <w:szCs w:val="26"/>
                <w:lang w:val="en-US"/>
              </w:rPr>
            </w:pPr>
            <w:r w:rsidRPr="00E67B87">
              <w:rPr>
                <w:rFonts w:asciiTheme="majorHAnsi" w:hAnsiTheme="majorHAnsi" w:cstheme="majorHAnsi"/>
                <w:b/>
                <w:sz w:val="26"/>
                <w:szCs w:val="26"/>
                <w:lang w:val="en-US"/>
              </w:rPr>
              <w:t>Tỷ lệ</w:t>
            </w:r>
          </w:p>
        </w:tc>
      </w:tr>
      <w:tr w:rsidR="00EA23FA" w:rsidRPr="00E67B87" w:rsidTr="00EA23FA">
        <w:trPr>
          <w:trHeight w:val="567"/>
          <w:jc w:val="center"/>
        </w:trPr>
        <w:tc>
          <w:tcPr>
            <w:tcW w:w="6237" w:type="dxa"/>
          </w:tcPr>
          <w:p w:rsidR="00EA23FA" w:rsidRPr="00E67B87" w:rsidRDefault="00EA23FA" w:rsidP="00E67B87">
            <w:pPr>
              <w:pStyle w:val="ListParagraph"/>
              <w:numPr>
                <w:ilvl w:val="0"/>
                <w:numId w:val="2"/>
              </w:numPr>
              <w:spacing w:before="120" w:after="120"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Thi vấn đáp</w:t>
            </w:r>
          </w:p>
        </w:tc>
        <w:tc>
          <w:tcPr>
            <w:tcW w:w="250"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p>
        </w:tc>
        <w:tc>
          <w:tcPr>
            <w:tcW w:w="1904"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20%</w:t>
            </w:r>
          </w:p>
        </w:tc>
      </w:tr>
      <w:tr w:rsidR="00EA23FA" w:rsidRPr="00E67B87" w:rsidTr="00EA23FA">
        <w:trPr>
          <w:trHeight w:val="567"/>
          <w:jc w:val="center"/>
        </w:trPr>
        <w:tc>
          <w:tcPr>
            <w:tcW w:w="6237" w:type="dxa"/>
          </w:tcPr>
          <w:p w:rsidR="00EA23FA" w:rsidRPr="00E67B87" w:rsidRDefault="00EA23FA" w:rsidP="00E67B87">
            <w:pPr>
              <w:pStyle w:val="ListParagraph"/>
              <w:numPr>
                <w:ilvl w:val="0"/>
                <w:numId w:val="2"/>
              </w:numPr>
              <w:spacing w:before="120" w:after="120"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Thảo luận và Trình bày nhóm (từ 2 đến 3 sinh viên)</w:t>
            </w:r>
          </w:p>
        </w:tc>
        <w:tc>
          <w:tcPr>
            <w:tcW w:w="250"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p>
        </w:tc>
        <w:tc>
          <w:tcPr>
            <w:tcW w:w="1904"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10%</w:t>
            </w:r>
          </w:p>
        </w:tc>
      </w:tr>
      <w:tr w:rsidR="00EA23FA" w:rsidRPr="00E67B87" w:rsidTr="00EA23FA">
        <w:trPr>
          <w:trHeight w:val="567"/>
          <w:jc w:val="center"/>
        </w:trPr>
        <w:tc>
          <w:tcPr>
            <w:tcW w:w="6237" w:type="dxa"/>
          </w:tcPr>
          <w:p w:rsidR="00EA23FA" w:rsidRPr="00E67B87" w:rsidRDefault="00EA23FA" w:rsidP="00E67B87">
            <w:pPr>
              <w:pStyle w:val="ListParagraph"/>
              <w:numPr>
                <w:ilvl w:val="0"/>
                <w:numId w:val="2"/>
              </w:numPr>
              <w:spacing w:before="120" w:after="120"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Thi hết môn (bài thi gồm hai phần chính, phần A gồm 35 câu hỏi trắc nghiệm, phần B gồm 3 câu hỏi tình huống</w:t>
            </w:r>
          </w:p>
        </w:tc>
        <w:tc>
          <w:tcPr>
            <w:tcW w:w="250"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p>
        </w:tc>
        <w:tc>
          <w:tcPr>
            <w:tcW w:w="1904"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70%</w:t>
            </w:r>
          </w:p>
        </w:tc>
      </w:tr>
      <w:tr w:rsidR="00EA23FA" w:rsidRPr="00E67B87" w:rsidTr="00EA23FA">
        <w:trPr>
          <w:trHeight w:val="567"/>
          <w:jc w:val="center"/>
        </w:trPr>
        <w:tc>
          <w:tcPr>
            <w:tcW w:w="6237" w:type="dxa"/>
          </w:tcPr>
          <w:p w:rsidR="00EA23FA" w:rsidRPr="00E67B87" w:rsidRDefault="00EA23FA" w:rsidP="00E67B87">
            <w:pPr>
              <w:spacing w:before="120" w:after="120" w:line="288" w:lineRule="auto"/>
              <w:jc w:val="right"/>
              <w:rPr>
                <w:rFonts w:asciiTheme="majorHAnsi" w:hAnsiTheme="majorHAnsi" w:cstheme="majorHAnsi"/>
                <w:sz w:val="26"/>
                <w:szCs w:val="26"/>
                <w:lang w:val="en-US"/>
              </w:rPr>
            </w:pPr>
            <w:r w:rsidRPr="00E67B87">
              <w:rPr>
                <w:rFonts w:asciiTheme="majorHAnsi" w:hAnsiTheme="majorHAnsi" w:cstheme="majorHAnsi"/>
                <w:sz w:val="26"/>
                <w:szCs w:val="26"/>
                <w:lang w:val="en-US"/>
              </w:rPr>
              <w:t>TỔNG</w:t>
            </w:r>
          </w:p>
        </w:tc>
        <w:tc>
          <w:tcPr>
            <w:tcW w:w="250"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p>
        </w:tc>
        <w:tc>
          <w:tcPr>
            <w:tcW w:w="1904" w:type="dxa"/>
          </w:tcPr>
          <w:p w:rsidR="00EA23FA" w:rsidRPr="00E67B87" w:rsidRDefault="00EA23FA" w:rsidP="00E67B87">
            <w:pPr>
              <w:spacing w:before="120" w:after="120" w:line="288" w:lineRule="auto"/>
              <w:jc w:val="both"/>
              <w:rPr>
                <w:rFonts w:asciiTheme="majorHAnsi" w:hAnsiTheme="majorHAnsi" w:cstheme="majorHAnsi"/>
                <w:sz w:val="26"/>
                <w:szCs w:val="26"/>
                <w:lang w:val="en-US"/>
              </w:rPr>
            </w:pPr>
            <w:r w:rsidRPr="00E67B87">
              <w:rPr>
                <w:rFonts w:asciiTheme="majorHAnsi" w:hAnsiTheme="majorHAnsi" w:cstheme="majorHAnsi"/>
                <w:sz w:val="26"/>
                <w:szCs w:val="26"/>
                <w:lang w:val="en-US"/>
              </w:rPr>
              <w:t>100%</w:t>
            </w:r>
          </w:p>
        </w:tc>
      </w:tr>
    </w:tbl>
    <w:p w:rsidR="00E86767" w:rsidRPr="00597B44" w:rsidRDefault="00E72AAA" w:rsidP="00597B44">
      <w:pPr>
        <w:jc w:val="both"/>
        <w:rPr>
          <w:rFonts w:asciiTheme="majorHAnsi" w:hAnsiTheme="majorHAnsi" w:cstheme="majorHAnsi"/>
          <w:sz w:val="24"/>
          <w:szCs w:val="24"/>
        </w:rPr>
      </w:pPr>
      <w:r w:rsidRPr="00597B44">
        <w:rPr>
          <w:rFonts w:asciiTheme="majorHAnsi" w:hAnsiTheme="majorHAnsi" w:cstheme="majorHAnsi"/>
          <w:sz w:val="24"/>
          <w:szCs w:val="24"/>
        </w:rPr>
        <w:t xml:space="preserve"> </w:t>
      </w:r>
    </w:p>
    <w:sectPr w:rsidR="00E86767" w:rsidRPr="00597B44" w:rsidSect="00E67B8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5F"/>
    <w:multiLevelType w:val="hybridMultilevel"/>
    <w:tmpl w:val="75584680"/>
    <w:lvl w:ilvl="0" w:tplc="520638C6">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8D26282"/>
    <w:multiLevelType w:val="hybridMultilevel"/>
    <w:tmpl w:val="112C16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AA"/>
    <w:rsid w:val="00597B44"/>
    <w:rsid w:val="007C2C52"/>
    <w:rsid w:val="008F5FFC"/>
    <w:rsid w:val="00BA0C36"/>
    <w:rsid w:val="00CE084A"/>
    <w:rsid w:val="00DB08B3"/>
    <w:rsid w:val="00E67B87"/>
    <w:rsid w:val="00E72AAA"/>
    <w:rsid w:val="00E86767"/>
    <w:rsid w:val="00EA23FA"/>
    <w:rsid w:val="00F1614C"/>
    <w:rsid w:val="00FD59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FC"/>
    <w:pPr>
      <w:ind w:left="720"/>
      <w:contextualSpacing/>
    </w:pPr>
  </w:style>
  <w:style w:type="table" w:styleId="TableGrid">
    <w:name w:val="Table Grid"/>
    <w:basedOn w:val="TableNormal"/>
    <w:uiPriority w:val="59"/>
    <w:rsid w:val="00CE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FC"/>
    <w:pPr>
      <w:ind w:left="720"/>
      <w:contextualSpacing/>
    </w:pPr>
  </w:style>
  <w:style w:type="table" w:styleId="TableGrid">
    <w:name w:val="Table Grid"/>
    <w:basedOn w:val="TableNormal"/>
    <w:uiPriority w:val="59"/>
    <w:rsid w:val="00CE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4399-1CF1-4F0B-9832-79C652A4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 TuanVinh</dc:creator>
  <cp:lastModifiedBy>Hong_HTQT</cp:lastModifiedBy>
  <cp:revision>5</cp:revision>
  <cp:lastPrinted>2018-05-11T07:48:00Z</cp:lastPrinted>
  <dcterms:created xsi:type="dcterms:W3CDTF">2018-05-09T04:17:00Z</dcterms:created>
  <dcterms:modified xsi:type="dcterms:W3CDTF">2018-05-11T07:49:00Z</dcterms:modified>
</cp:coreProperties>
</file>